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B6EFE" w14:textId="3A8DAF2D" w:rsidR="0032147D" w:rsidRPr="00805526" w:rsidRDefault="0032147D" w:rsidP="0032147D">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WG2 #11</w:t>
      </w:r>
      <w:r w:rsidR="00596F22">
        <w:rPr>
          <w:rFonts w:ascii="Arial" w:hAnsi="Arial" w:cs="Arial"/>
          <w:b/>
          <w:bCs/>
          <w:lang w:val="pt-BR"/>
        </w:rPr>
        <w:t>7</w:t>
      </w:r>
      <w:r w:rsidR="007311B2">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R2-2</w:t>
      </w:r>
      <w:r>
        <w:rPr>
          <w:rFonts w:ascii="Arial" w:hAnsi="Arial" w:cs="Arial"/>
          <w:b/>
          <w:bCs/>
          <w:lang w:val="pt-BR"/>
        </w:rPr>
        <w:t>2</w:t>
      </w:r>
      <w:r w:rsidR="00ED444E">
        <w:rPr>
          <w:rFonts w:ascii="Arial" w:hAnsi="Arial" w:cs="Arial"/>
          <w:b/>
          <w:bCs/>
          <w:lang w:val="pt-BR"/>
        </w:rPr>
        <w:t>02551</w:t>
      </w:r>
    </w:p>
    <w:p w14:paraId="758DD4B8" w14:textId="1C26BF09" w:rsidR="0032147D" w:rsidRPr="00D377D2" w:rsidRDefault="0032147D" w:rsidP="0032147D">
      <w:pPr>
        <w:pStyle w:val="CRCoverPage"/>
        <w:jc w:val="both"/>
        <w:outlineLvl w:val="0"/>
        <w:rPr>
          <w:rFonts w:ascii="Times New Roman" w:hAnsi="Times New Roman"/>
          <w:b/>
          <w:sz w:val="24"/>
          <w:szCs w:val="24"/>
          <w:lang w:val="en-US"/>
        </w:rPr>
      </w:pPr>
      <w:r w:rsidRPr="00D377D2">
        <w:rPr>
          <w:rFonts w:eastAsia="MS Mincho" w:cs="Arial"/>
          <w:b/>
          <w:bCs/>
          <w:sz w:val="24"/>
          <w:szCs w:val="24"/>
          <w:lang w:eastAsia="ja-JP"/>
        </w:rPr>
        <w:t>e-Meeting,</w:t>
      </w:r>
      <w:r w:rsidR="00625189">
        <w:rPr>
          <w:rFonts w:eastAsia="MS Mincho" w:cs="Arial"/>
          <w:b/>
          <w:bCs/>
          <w:sz w:val="24"/>
          <w:szCs w:val="24"/>
          <w:lang w:eastAsia="ja-JP"/>
        </w:rPr>
        <w:t xml:space="preserve"> </w:t>
      </w:r>
      <w:r w:rsidR="00596F22">
        <w:rPr>
          <w:rFonts w:eastAsia="MS Mincho" w:cs="Arial"/>
          <w:b/>
          <w:bCs/>
          <w:sz w:val="24"/>
          <w:szCs w:val="24"/>
          <w:lang w:eastAsia="ja-JP"/>
        </w:rPr>
        <w:t>Feb.</w:t>
      </w:r>
      <w:r w:rsidR="007E2185">
        <w:rPr>
          <w:rFonts w:eastAsia="MS Mincho" w:cs="Arial"/>
          <w:b/>
          <w:bCs/>
          <w:sz w:val="24"/>
          <w:szCs w:val="24"/>
          <w:lang w:eastAsia="ja-JP"/>
        </w:rPr>
        <w:t xml:space="preserve"> </w:t>
      </w:r>
      <w:r w:rsidR="00596F22">
        <w:rPr>
          <w:rFonts w:eastAsia="MS Mincho" w:cs="Arial"/>
          <w:b/>
          <w:bCs/>
          <w:sz w:val="24"/>
          <w:szCs w:val="24"/>
          <w:lang w:eastAsia="ja-JP"/>
        </w:rPr>
        <w:t>2</w:t>
      </w:r>
      <w:r w:rsidR="007311B2">
        <w:rPr>
          <w:rFonts w:eastAsia="MS Mincho" w:cs="Arial"/>
          <w:b/>
          <w:bCs/>
          <w:sz w:val="24"/>
          <w:szCs w:val="24"/>
          <w:lang w:eastAsia="ja-JP"/>
        </w:rPr>
        <w:t>1</w:t>
      </w:r>
      <w:r w:rsidR="00596F22">
        <w:rPr>
          <w:rFonts w:eastAsia="MS Mincho" w:cs="Arial"/>
          <w:b/>
          <w:bCs/>
          <w:sz w:val="24"/>
          <w:szCs w:val="24"/>
          <w:lang w:eastAsia="ja-JP"/>
        </w:rPr>
        <w:t xml:space="preserve"> – Mar.</w:t>
      </w:r>
      <w:r w:rsidR="007E2185">
        <w:rPr>
          <w:rFonts w:eastAsia="MS Mincho" w:cs="Arial"/>
          <w:b/>
          <w:bCs/>
          <w:sz w:val="24"/>
          <w:szCs w:val="24"/>
          <w:lang w:eastAsia="ja-JP"/>
        </w:rPr>
        <w:t xml:space="preserve"> 0</w:t>
      </w:r>
      <w:r w:rsidR="00596F22">
        <w:rPr>
          <w:rFonts w:eastAsia="MS Mincho" w:cs="Arial"/>
          <w:b/>
          <w:bCs/>
          <w:sz w:val="24"/>
          <w:szCs w:val="24"/>
          <w:lang w:eastAsia="ja-JP"/>
        </w:rPr>
        <w:t>3</w:t>
      </w:r>
      <w:r w:rsidRPr="00D377D2">
        <w:rPr>
          <w:rFonts w:eastAsia="MS Mincho" w:cs="Arial"/>
          <w:b/>
          <w:bCs/>
          <w:sz w:val="24"/>
          <w:szCs w:val="24"/>
          <w:lang w:eastAsia="ja-JP"/>
        </w:rPr>
        <w:t>,</w:t>
      </w:r>
      <w:r>
        <w:rPr>
          <w:rFonts w:eastAsia="MS Mincho" w:cs="Arial"/>
          <w:b/>
          <w:bCs/>
          <w:sz w:val="24"/>
          <w:szCs w:val="24"/>
          <w:lang w:eastAsia="ja-JP"/>
        </w:rPr>
        <w:t xml:space="preserve"> </w:t>
      </w:r>
      <w:r w:rsidRPr="00D377D2">
        <w:rPr>
          <w:rFonts w:eastAsia="MS Mincho" w:cs="Arial"/>
          <w:b/>
          <w:bCs/>
          <w:sz w:val="24"/>
          <w:szCs w:val="24"/>
          <w:lang w:eastAsia="ja-JP"/>
        </w:rPr>
        <w:t xml:space="preserve">2022                       </w:t>
      </w:r>
      <w:r>
        <w:rPr>
          <w:rFonts w:eastAsia="MS Mincho" w:cs="Arial"/>
          <w:b/>
          <w:bCs/>
          <w:sz w:val="24"/>
          <w:szCs w:val="24"/>
          <w:lang w:eastAsia="ja-JP"/>
        </w:rPr>
        <w:t xml:space="preserve">                         </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37813FCD" w:rsidR="00E90E49" w:rsidRPr="00764EBC" w:rsidRDefault="00E90E49" w:rsidP="005E56C2">
      <w:pPr>
        <w:pStyle w:val="3GPPHeader"/>
        <w:jc w:val="both"/>
      </w:pPr>
      <w:r w:rsidRPr="00764EBC">
        <w:t>Agenda Item:</w:t>
      </w:r>
      <w:r w:rsidRPr="00764EBC">
        <w:tab/>
      </w:r>
      <w:r w:rsidR="00DF1985">
        <w:t>8.</w:t>
      </w:r>
      <w:r w:rsidR="00101153">
        <w:t>14.5</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0E68EBE2" w:rsidR="00531215" w:rsidRPr="00764EBC" w:rsidRDefault="003D3C45" w:rsidP="008674CA">
      <w:pPr>
        <w:pStyle w:val="3GPPHeader"/>
        <w:jc w:val="both"/>
      </w:pPr>
      <w:r w:rsidRPr="00764EBC">
        <w:t>Title:</w:t>
      </w:r>
      <w:r w:rsidR="00E90E49" w:rsidRPr="00764EBC">
        <w:tab/>
      </w:r>
      <w:r w:rsidR="00101153">
        <w:t>Start/Stop indication in NR QoE</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63ECC7B4" w14:textId="653C41B6" w:rsidR="00C808C4" w:rsidRDefault="00C808C4" w:rsidP="00783E80">
      <w:pPr>
        <w:pStyle w:val="Comments"/>
        <w:jc w:val="both"/>
        <w:rPr>
          <w:rFonts w:ascii="Times New Roman" w:hAnsi="Times New Roman"/>
          <w:i w:val="0"/>
          <w:iCs/>
          <w:sz w:val="24"/>
        </w:rPr>
      </w:pPr>
      <w:r>
        <w:rPr>
          <w:rFonts w:ascii="Times New Roman" w:hAnsi="Times New Roman"/>
          <w:i w:val="0"/>
          <w:iCs/>
          <w:sz w:val="24"/>
        </w:rPr>
        <w:t xml:space="preserve">The topic of mobility in QoE was discussed as part of the open issues that remain for the QoE feature. However, it was concluded </w:t>
      </w:r>
      <w:r w:rsidR="00625AA8">
        <w:rPr>
          <w:rFonts w:ascii="Times New Roman" w:hAnsi="Times New Roman"/>
          <w:i w:val="0"/>
          <w:iCs/>
          <w:sz w:val="24"/>
        </w:rPr>
        <w:fldChar w:fldCharType="begin"/>
      </w:r>
      <w:r w:rsidR="00625AA8">
        <w:rPr>
          <w:rFonts w:ascii="Times New Roman" w:hAnsi="Times New Roman"/>
          <w:i w:val="0"/>
          <w:iCs/>
          <w:sz w:val="24"/>
        </w:rPr>
        <w:instrText xml:space="preserve"> REF _Ref95542035 \r \h </w:instrText>
      </w:r>
      <w:r w:rsidR="00625AA8">
        <w:rPr>
          <w:rFonts w:ascii="Times New Roman" w:hAnsi="Times New Roman"/>
          <w:i w:val="0"/>
          <w:iCs/>
          <w:sz w:val="24"/>
        </w:rPr>
      </w:r>
      <w:r w:rsidR="00625AA8">
        <w:rPr>
          <w:rFonts w:ascii="Times New Roman" w:hAnsi="Times New Roman"/>
          <w:i w:val="0"/>
          <w:iCs/>
          <w:sz w:val="24"/>
        </w:rPr>
        <w:fldChar w:fldCharType="separate"/>
      </w:r>
      <w:r w:rsidR="00625AA8">
        <w:rPr>
          <w:rFonts w:ascii="Times New Roman" w:hAnsi="Times New Roman"/>
          <w:i w:val="0"/>
          <w:iCs/>
          <w:sz w:val="24"/>
        </w:rPr>
        <w:t>[1]</w:t>
      </w:r>
      <w:r w:rsidR="00625AA8">
        <w:rPr>
          <w:rFonts w:ascii="Times New Roman" w:hAnsi="Times New Roman"/>
          <w:i w:val="0"/>
          <w:iCs/>
          <w:sz w:val="24"/>
        </w:rPr>
        <w:fldChar w:fldCharType="end"/>
      </w:r>
      <w:r w:rsidR="00625AA8">
        <w:rPr>
          <w:rFonts w:ascii="Times New Roman" w:hAnsi="Times New Roman"/>
          <w:i w:val="0"/>
          <w:iCs/>
          <w:sz w:val="24"/>
        </w:rPr>
        <w:t xml:space="preserve"> </w:t>
      </w:r>
      <w:r>
        <w:rPr>
          <w:rFonts w:ascii="Times New Roman" w:hAnsi="Times New Roman"/>
          <w:i w:val="0"/>
          <w:iCs/>
          <w:sz w:val="24"/>
        </w:rPr>
        <w:t xml:space="preserve">that the issue is </w:t>
      </w:r>
      <w:r w:rsidR="00E53AA7">
        <w:rPr>
          <w:rFonts w:ascii="Times New Roman" w:hAnsi="Times New Roman"/>
          <w:i w:val="0"/>
          <w:iCs/>
          <w:sz w:val="24"/>
        </w:rPr>
        <w:t>closed</w:t>
      </w:r>
      <w:r>
        <w:rPr>
          <w:rFonts w:ascii="Times New Roman" w:hAnsi="Times New Roman"/>
          <w:i w:val="0"/>
          <w:iCs/>
          <w:sz w:val="24"/>
        </w:rPr>
        <w:t xml:space="preserve"> based on an LS </w:t>
      </w:r>
      <w:r w:rsidR="00625AA8">
        <w:rPr>
          <w:rFonts w:ascii="Times New Roman" w:hAnsi="Times New Roman"/>
          <w:i w:val="0"/>
          <w:iCs/>
          <w:sz w:val="24"/>
        </w:rPr>
        <w:fldChar w:fldCharType="begin"/>
      </w:r>
      <w:r w:rsidR="00625AA8">
        <w:rPr>
          <w:rFonts w:ascii="Times New Roman" w:hAnsi="Times New Roman"/>
          <w:i w:val="0"/>
          <w:iCs/>
          <w:sz w:val="24"/>
        </w:rPr>
        <w:instrText xml:space="preserve"> REF _Ref95542045 \r \h </w:instrText>
      </w:r>
      <w:r w:rsidR="00625AA8">
        <w:rPr>
          <w:rFonts w:ascii="Times New Roman" w:hAnsi="Times New Roman"/>
          <w:i w:val="0"/>
          <w:iCs/>
          <w:sz w:val="24"/>
        </w:rPr>
      </w:r>
      <w:r w:rsidR="00625AA8">
        <w:rPr>
          <w:rFonts w:ascii="Times New Roman" w:hAnsi="Times New Roman"/>
          <w:i w:val="0"/>
          <w:iCs/>
          <w:sz w:val="24"/>
        </w:rPr>
        <w:fldChar w:fldCharType="separate"/>
      </w:r>
      <w:r w:rsidR="00625AA8">
        <w:rPr>
          <w:rFonts w:ascii="Times New Roman" w:hAnsi="Times New Roman"/>
          <w:i w:val="0"/>
          <w:iCs/>
          <w:sz w:val="24"/>
        </w:rPr>
        <w:t>[2]</w:t>
      </w:r>
      <w:r w:rsidR="00625AA8">
        <w:rPr>
          <w:rFonts w:ascii="Times New Roman" w:hAnsi="Times New Roman"/>
          <w:i w:val="0"/>
          <w:iCs/>
          <w:sz w:val="24"/>
        </w:rPr>
        <w:fldChar w:fldCharType="end"/>
      </w:r>
      <w:r w:rsidR="00625AA8">
        <w:rPr>
          <w:rFonts w:ascii="Times New Roman" w:hAnsi="Times New Roman"/>
          <w:i w:val="0"/>
          <w:iCs/>
          <w:sz w:val="24"/>
        </w:rPr>
        <w:t xml:space="preserve"> </w:t>
      </w:r>
      <w:r>
        <w:rPr>
          <w:rFonts w:ascii="Times New Roman" w:hAnsi="Times New Roman"/>
          <w:i w:val="0"/>
          <w:iCs/>
          <w:sz w:val="24"/>
        </w:rPr>
        <w:t xml:space="preserve">from RAN3, that has not yet been </w:t>
      </w:r>
      <w:r w:rsidR="00625AA8">
        <w:rPr>
          <w:rFonts w:ascii="Times New Roman" w:hAnsi="Times New Roman"/>
          <w:i w:val="0"/>
          <w:iCs/>
          <w:sz w:val="24"/>
        </w:rPr>
        <w:t>treated in RAN2</w:t>
      </w:r>
      <w:r>
        <w:rPr>
          <w:rFonts w:ascii="Times New Roman" w:hAnsi="Times New Roman"/>
          <w:i w:val="0"/>
          <w:iCs/>
          <w:sz w:val="24"/>
        </w:rPr>
        <w:t>.</w:t>
      </w:r>
      <w:r w:rsidR="005E589B">
        <w:rPr>
          <w:rFonts w:ascii="Times New Roman" w:hAnsi="Times New Roman"/>
          <w:i w:val="0"/>
          <w:iCs/>
          <w:sz w:val="24"/>
        </w:rPr>
        <w:t xml:space="preserve"> </w:t>
      </w:r>
      <w:r w:rsidR="00E53AA7">
        <w:rPr>
          <w:rFonts w:ascii="Times New Roman" w:hAnsi="Times New Roman"/>
          <w:i w:val="0"/>
          <w:iCs/>
          <w:sz w:val="24"/>
        </w:rPr>
        <w:t>In that LS, RAN3 provides some agreements reached to support alignment of immediate MDT and QoE measurement, pasted below.</w:t>
      </w:r>
    </w:p>
    <w:p w14:paraId="48A2887F" w14:textId="1E5B53F2" w:rsidR="00E53AA7" w:rsidRDefault="00E53AA7" w:rsidP="00783E80">
      <w:pPr>
        <w:pStyle w:val="Comments"/>
        <w:jc w:val="both"/>
        <w:rPr>
          <w:rFonts w:ascii="Times New Roman" w:hAnsi="Times New Roman"/>
          <w:i w:val="0"/>
          <w:iCs/>
          <w:sz w:val="24"/>
        </w:rPr>
      </w:pPr>
    </w:p>
    <w:p w14:paraId="0CB28BE5" w14:textId="77777777" w:rsidR="00E53AA7" w:rsidRDefault="00E53AA7" w:rsidP="00E53AA7">
      <w:pPr>
        <w:pBdr>
          <w:top w:val="single" w:sz="4" w:space="1" w:color="auto"/>
          <w:left w:val="single" w:sz="4" w:space="4" w:color="auto"/>
          <w:bottom w:val="single" w:sz="4" w:space="1" w:color="auto"/>
          <w:right w:val="single" w:sz="4" w:space="4" w:color="auto"/>
        </w:pBdr>
        <w:spacing w:before="120"/>
        <w:ind w:left="360"/>
        <w:rPr>
          <w:rFonts w:asciiTheme="minorHAnsi" w:hAnsiTheme="minorHAnsi" w:cstheme="minorHAnsi"/>
          <w:b/>
          <w:color w:val="00B050"/>
          <w:sz w:val="22"/>
          <w:szCs w:val="22"/>
          <w:lang w:eastAsia="en-US"/>
        </w:rPr>
      </w:pPr>
      <w:r w:rsidRPr="00752B2C">
        <w:rPr>
          <w:rFonts w:asciiTheme="minorHAnsi" w:hAnsiTheme="minorHAnsi" w:cstheme="minorHAnsi"/>
          <w:b/>
          <w:color w:val="00B050"/>
          <w:sz w:val="22"/>
          <w:szCs w:val="22"/>
          <w:lang w:eastAsia="en-US"/>
        </w:rPr>
        <w:t>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w:t>
      </w:r>
    </w:p>
    <w:p w14:paraId="38AD7522" w14:textId="77777777" w:rsidR="00E53AA7" w:rsidRPr="00752B2C" w:rsidRDefault="00E53AA7" w:rsidP="00E53AA7">
      <w:pPr>
        <w:pBdr>
          <w:top w:val="single" w:sz="4" w:space="1" w:color="auto"/>
          <w:left w:val="single" w:sz="4" w:space="4" w:color="auto"/>
          <w:bottom w:val="single" w:sz="4" w:space="1" w:color="auto"/>
          <w:right w:val="single" w:sz="4" w:space="4" w:color="auto"/>
        </w:pBdr>
        <w:spacing w:before="120"/>
        <w:ind w:left="360"/>
        <w:rPr>
          <w:rFonts w:asciiTheme="minorHAnsi" w:hAnsiTheme="minorHAnsi" w:cstheme="minorHAnsi"/>
          <w:b/>
          <w:bCs/>
          <w:color w:val="00B050"/>
          <w:sz w:val="22"/>
          <w:szCs w:val="22"/>
        </w:rPr>
      </w:pPr>
      <w:r w:rsidRPr="00752B2C">
        <w:rPr>
          <w:rFonts w:asciiTheme="minorHAnsi" w:hAnsiTheme="minorHAnsi" w:cstheme="minorHAnsi"/>
          <w:b/>
          <w:bCs/>
          <w:color w:val="00B050"/>
          <w:sz w:val="22"/>
          <w:szCs w:val="22"/>
        </w:rPr>
        <w:t xml:space="preserve">UE assisted solution can be used for MDT-QoE alignment. UE can indicate to NG-RAN via a flag whether a QoE measurement session started/ended. If the NG-RAN knows there is an MDT configuration associated with a QoE configuration (e.g., upon receiving NG-RAN Trace ID in the QoE configuration from OAM), </w:t>
      </w:r>
    </w:p>
    <w:p w14:paraId="717361E1" w14:textId="77777777" w:rsidR="00E53AA7" w:rsidRPr="00752B2C" w:rsidRDefault="00E53AA7" w:rsidP="00E53AA7">
      <w:pPr>
        <w:pStyle w:val="ListParagraph"/>
        <w:numPr>
          <w:ilvl w:val="0"/>
          <w:numId w:val="46"/>
        </w:numPr>
        <w:pBdr>
          <w:top w:val="single" w:sz="4" w:space="1" w:color="auto"/>
          <w:left w:val="single" w:sz="4" w:space="4" w:color="auto"/>
          <w:bottom w:val="single" w:sz="4" w:space="1" w:color="auto"/>
          <w:right w:val="single" w:sz="4" w:space="4" w:color="auto"/>
        </w:pBdr>
        <w:spacing w:before="120" w:line="259" w:lineRule="auto"/>
        <w:rPr>
          <w:rFonts w:asciiTheme="minorHAnsi" w:hAnsiTheme="minorHAnsi" w:cstheme="minorHAnsi"/>
          <w:b/>
          <w:bCs/>
          <w:color w:val="00B050"/>
        </w:rPr>
      </w:pPr>
      <w:r w:rsidRPr="00752B2C">
        <w:rPr>
          <w:rFonts w:asciiTheme="minorHAnsi" w:hAnsiTheme="minorHAnsi" w:cstheme="minorHAnsi"/>
          <w:b/>
          <w:bCs/>
          <w:color w:val="00B050"/>
        </w:rPr>
        <w:t>NG-RAN can configure the UE with that associated MDT configuration upon receiving the QoE measurement session start indication from the UE</w:t>
      </w:r>
    </w:p>
    <w:p w14:paraId="727EEE58" w14:textId="77777777" w:rsidR="00E53AA7" w:rsidRPr="00752B2C" w:rsidRDefault="00E53AA7" w:rsidP="00E53AA7">
      <w:pPr>
        <w:pStyle w:val="ListParagraph"/>
        <w:numPr>
          <w:ilvl w:val="0"/>
          <w:numId w:val="46"/>
        </w:numPr>
        <w:pBdr>
          <w:top w:val="single" w:sz="4" w:space="1" w:color="auto"/>
          <w:left w:val="single" w:sz="4" w:space="4" w:color="auto"/>
          <w:bottom w:val="single" w:sz="4" w:space="1" w:color="auto"/>
          <w:right w:val="single" w:sz="4" w:space="4" w:color="auto"/>
        </w:pBdr>
        <w:spacing w:before="120" w:line="259" w:lineRule="auto"/>
        <w:rPr>
          <w:rFonts w:asciiTheme="minorHAnsi" w:hAnsiTheme="minorHAnsi" w:cstheme="minorHAnsi"/>
          <w:b/>
          <w:bCs/>
          <w:color w:val="00B050"/>
        </w:rPr>
      </w:pPr>
      <w:r w:rsidRPr="00752B2C">
        <w:rPr>
          <w:rFonts w:asciiTheme="minorHAnsi" w:hAnsiTheme="minorHAnsi" w:cstheme="minorHAnsi"/>
          <w:b/>
          <w:bCs/>
          <w:color w:val="00B050"/>
        </w:rPr>
        <w:t>NG-RAN can deactivate the associated MDT configuration upon receiving the QoE measurement session end indication from the UE</w:t>
      </w:r>
    </w:p>
    <w:p w14:paraId="30B01C4B" w14:textId="77777777" w:rsidR="00E53AA7" w:rsidRDefault="00E53AA7" w:rsidP="00783E80">
      <w:pPr>
        <w:pStyle w:val="Comments"/>
        <w:jc w:val="both"/>
        <w:rPr>
          <w:rFonts w:ascii="Times New Roman" w:hAnsi="Times New Roman"/>
          <w:i w:val="0"/>
          <w:iCs/>
          <w:sz w:val="24"/>
        </w:rPr>
      </w:pPr>
    </w:p>
    <w:p w14:paraId="1F982094" w14:textId="77777777" w:rsidR="006A6B1E" w:rsidRDefault="00E53AA7" w:rsidP="00783E80">
      <w:pPr>
        <w:pStyle w:val="Comments"/>
        <w:jc w:val="both"/>
        <w:rPr>
          <w:rFonts w:ascii="Times New Roman" w:hAnsi="Times New Roman"/>
          <w:i w:val="0"/>
          <w:iCs/>
          <w:sz w:val="24"/>
        </w:rPr>
      </w:pPr>
      <w:r>
        <w:rPr>
          <w:rFonts w:ascii="Times New Roman" w:hAnsi="Times New Roman"/>
          <w:i w:val="0"/>
          <w:iCs/>
          <w:sz w:val="24"/>
        </w:rPr>
        <w:t xml:space="preserve">Based on the LS, participating companies in the open issues discussion thread </w:t>
      </w:r>
      <w:r>
        <w:rPr>
          <w:rFonts w:ascii="Times New Roman" w:hAnsi="Times New Roman"/>
          <w:i w:val="0"/>
          <w:iCs/>
          <w:sz w:val="24"/>
        </w:rPr>
        <w:fldChar w:fldCharType="begin"/>
      </w:r>
      <w:r>
        <w:rPr>
          <w:rFonts w:ascii="Times New Roman" w:hAnsi="Times New Roman"/>
          <w:i w:val="0"/>
          <w:iCs/>
          <w:sz w:val="24"/>
        </w:rPr>
        <w:instrText xml:space="preserve"> REF _Ref95542035 \r \h </w:instrText>
      </w:r>
      <w:r>
        <w:rPr>
          <w:rFonts w:ascii="Times New Roman" w:hAnsi="Times New Roman"/>
          <w:i w:val="0"/>
          <w:iCs/>
          <w:sz w:val="24"/>
        </w:rPr>
      </w:r>
      <w:r>
        <w:rPr>
          <w:rFonts w:ascii="Times New Roman" w:hAnsi="Times New Roman"/>
          <w:i w:val="0"/>
          <w:iCs/>
          <w:sz w:val="24"/>
        </w:rPr>
        <w:fldChar w:fldCharType="separate"/>
      </w:r>
      <w:r>
        <w:rPr>
          <w:rFonts w:ascii="Times New Roman" w:hAnsi="Times New Roman"/>
          <w:i w:val="0"/>
          <w:iCs/>
          <w:sz w:val="24"/>
        </w:rPr>
        <w:t>[1]</w:t>
      </w:r>
      <w:r>
        <w:rPr>
          <w:rFonts w:ascii="Times New Roman" w:hAnsi="Times New Roman"/>
          <w:i w:val="0"/>
          <w:iCs/>
          <w:sz w:val="24"/>
        </w:rPr>
        <w:fldChar w:fldCharType="end"/>
      </w:r>
      <w:r>
        <w:rPr>
          <w:rFonts w:ascii="Times New Roman" w:hAnsi="Times New Roman"/>
          <w:i w:val="0"/>
          <w:iCs/>
          <w:sz w:val="24"/>
        </w:rPr>
        <w:t xml:space="preserve"> concluded that the UE assisted asolution</w:t>
      </w:r>
      <w:r w:rsidR="00F35C1F">
        <w:rPr>
          <w:rFonts w:ascii="Times New Roman" w:hAnsi="Times New Roman"/>
          <w:i w:val="0"/>
          <w:iCs/>
          <w:sz w:val="24"/>
        </w:rPr>
        <w:t xml:space="preserve"> adopted by RAN3 of sending start and stop indications via a flag to NG-RAN can also be adopted to solve the mobility issue discussed in RAN2 earlier. </w:t>
      </w:r>
    </w:p>
    <w:p w14:paraId="22E29191" w14:textId="77777777" w:rsidR="006A6B1E" w:rsidRDefault="006A6B1E" w:rsidP="00783E80">
      <w:pPr>
        <w:pStyle w:val="Comments"/>
        <w:jc w:val="both"/>
        <w:rPr>
          <w:rFonts w:ascii="Times New Roman" w:hAnsi="Times New Roman"/>
          <w:i w:val="0"/>
          <w:iCs/>
          <w:sz w:val="24"/>
        </w:rPr>
      </w:pPr>
    </w:p>
    <w:p w14:paraId="08943B7F" w14:textId="32EB984A" w:rsidR="00433E74" w:rsidRDefault="006A6B1E" w:rsidP="00783E80">
      <w:pPr>
        <w:pStyle w:val="Comments"/>
        <w:jc w:val="both"/>
        <w:rPr>
          <w:rFonts w:ascii="Times New Roman" w:hAnsi="Times New Roman"/>
          <w:i w:val="0"/>
          <w:iCs/>
          <w:sz w:val="24"/>
        </w:rPr>
      </w:pPr>
      <w:r>
        <w:rPr>
          <w:rFonts w:ascii="Times New Roman" w:hAnsi="Times New Roman"/>
          <w:i w:val="0"/>
          <w:iCs/>
          <w:sz w:val="24"/>
        </w:rPr>
        <w:t xml:space="preserve">However, this is an issue that </w:t>
      </w:r>
      <w:r w:rsidR="000A0AF2">
        <w:rPr>
          <w:rFonts w:ascii="Times New Roman" w:hAnsi="Times New Roman"/>
          <w:i w:val="0"/>
          <w:iCs/>
          <w:sz w:val="24"/>
        </w:rPr>
        <w:t>involves RRC signaling from the UE to the network</w:t>
      </w:r>
      <w:r>
        <w:rPr>
          <w:rFonts w:ascii="Times New Roman" w:hAnsi="Times New Roman"/>
          <w:i w:val="0"/>
          <w:iCs/>
          <w:sz w:val="24"/>
        </w:rPr>
        <w:t>, and so it is important for RAN2 to weigh in. RAN2 ha</w:t>
      </w:r>
      <w:r w:rsidR="0070289D">
        <w:rPr>
          <w:rFonts w:ascii="Times New Roman" w:hAnsi="Times New Roman"/>
          <w:i w:val="0"/>
          <w:iCs/>
          <w:sz w:val="24"/>
        </w:rPr>
        <w:t>s</w:t>
      </w:r>
      <w:r>
        <w:rPr>
          <w:rFonts w:ascii="Times New Roman" w:hAnsi="Times New Roman"/>
          <w:i w:val="0"/>
          <w:iCs/>
          <w:sz w:val="24"/>
        </w:rPr>
        <w:t xml:space="preserve"> already begun discussing this issue and even sent an LS </w:t>
      </w:r>
      <w:r w:rsidR="00271317">
        <w:rPr>
          <w:rFonts w:ascii="Times New Roman" w:hAnsi="Times New Roman"/>
          <w:i w:val="0"/>
          <w:iCs/>
          <w:sz w:val="24"/>
        </w:rPr>
        <w:fldChar w:fldCharType="begin"/>
      </w:r>
      <w:r w:rsidR="00271317">
        <w:rPr>
          <w:rFonts w:ascii="Times New Roman" w:hAnsi="Times New Roman"/>
          <w:i w:val="0"/>
          <w:iCs/>
          <w:sz w:val="24"/>
        </w:rPr>
        <w:instrText xml:space="preserve"> REF _Ref95543730 \r \h </w:instrText>
      </w:r>
      <w:r w:rsidR="00271317">
        <w:rPr>
          <w:rFonts w:ascii="Times New Roman" w:hAnsi="Times New Roman"/>
          <w:i w:val="0"/>
          <w:iCs/>
          <w:sz w:val="24"/>
        </w:rPr>
      </w:r>
      <w:r w:rsidR="00271317">
        <w:rPr>
          <w:rFonts w:ascii="Times New Roman" w:hAnsi="Times New Roman"/>
          <w:i w:val="0"/>
          <w:iCs/>
          <w:sz w:val="24"/>
        </w:rPr>
        <w:fldChar w:fldCharType="separate"/>
      </w:r>
      <w:r w:rsidR="00271317">
        <w:rPr>
          <w:rFonts w:ascii="Times New Roman" w:hAnsi="Times New Roman"/>
          <w:i w:val="0"/>
          <w:iCs/>
          <w:sz w:val="24"/>
        </w:rPr>
        <w:t>[3]</w:t>
      </w:r>
      <w:r w:rsidR="00271317">
        <w:rPr>
          <w:rFonts w:ascii="Times New Roman" w:hAnsi="Times New Roman"/>
          <w:i w:val="0"/>
          <w:iCs/>
          <w:sz w:val="24"/>
        </w:rPr>
        <w:fldChar w:fldCharType="end"/>
      </w:r>
      <w:r w:rsidR="00271317">
        <w:rPr>
          <w:rFonts w:ascii="Times New Roman" w:hAnsi="Times New Roman"/>
          <w:i w:val="0"/>
          <w:iCs/>
          <w:sz w:val="24"/>
        </w:rPr>
        <w:t xml:space="preserve"> </w:t>
      </w:r>
      <w:r>
        <w:rPr>
          <w:rFonts w:ascii="Times New Roman" w:hAnsi="Times New Roman"/>
          <w:i w:val="0"/>
          <w:iCs/>
          <w:sz w:val="24"/>
        </w:rPr>
        <w:t>to SA4 to clarify matters.</w:t>
      </w:r>
      <w:r w:rsidR="00D31010">
        <w:rPr>
          <w:rFonts w:ascii="Times New Roman" w:hAnsi="Times New Roman"/>
          <w:i w:val="0"/>
          <w:iCs/>
          <w:sz w:val="24"/>
        </w:rPr>
        <w:t xml:space="preserve"> </w:t>
      </w:r>
      <w:r w:rsidR="00271317">
        <w:rPr>
          <w:rFonts w:ascii="Times New Roman" w:hAnsi="Times New Roman"/>
          <w:i w:val="0"/>
          <w:iCs/>
          <w:sz w:val="24"/>
        </w:rPr>
        <w:t>We believe that</w:t>
      </w:r>
      <w:r w:rsidR="00D31010">
        <w:rPr>
          <w:rFonts w:ascii="Times New Roman" w:hAnsi="Times New Roman"/>
          <w:i w:val="0"/>
          <w:iCs/>
          <w:sz w:val="24"/>
        </w:rPr>
        <w:t xml:space="preserve"> the solution chosen by RAN3 is not reasonable,</w:t>
      </w:r>
      <w:r w:rsidR="00076746">
        <w:rPr>
          <w:rFonts w:ascii="Times New Roman" w:hAnsi="Times New Roman"/>
          <w:i w:val="0"/>
          <w:iCs/>
          <w:sz w:val="24"/>
        </w:rPr>
        <w:t xml:space="preserve"> and</w:t>
      </w:r>
      <w:r w:rsidR="00D31010">
        <w:rPr>
          <w:rFonts w:ascii="Times New Roman" w:hAnsi="Times New Roman"/>
          <w:i w:val="0"/>
          <w:iCs/>
          <w:sz w:val="24"/>
        </w:rPr>
        <w:t xml:space="preserve"> </w:t>
      </w:r>
      <w:r w:rsidR="00F35C1F">
        <w:rPr>
          <w:rFonts w:ascii="Times New Roman" w:hAnsi="Times New Roman"/>
          <w:i w:val="0"/>
          <w:iCs/>
          <w:sz w:val="24"/>
        </w:rPr>
        <w:t>provide our views on this topic in this document.</w:t>
      </w:r>
    </w:p>
    <w:p w14:paraId="329FF664" w14:textId="4EFAFFEA" w:rsidR="00585371" w:rsidRDefault="00EA5A5B" w:rsidP="008674CA">
      <w:pPr>
        <w:pStyle w:val="Heading1"/>
        <w:jc w:val="both"/>
      </w:pPr>
      <w:r>
        <w:t>Discussion</w:t>
      </w:r>
    </w:p>
    <w:p w14:paraId="3D8468EB" w14:textId="1E5A9BBC" w:rsidR="0017007A" w:rsidRDefault="0070289D" w:rsidP="002E6959">
      <w:r>
        <w:rPr>
          <w:lang w:val="en-GB"/>
        </w:rPr>
        <w:t xml:space="preserve">We would like to reiterate our concern that sending start/stop indication to the network every time an application starts/stops will inadvertently reveal private information about a user which is not acceptable from a privacy point of view. </w:t>
      </w:r>
      <w:r w:rsidR="002B33CA">
        <w:rPr>
          <w:lang w:val="en-GB"/>
        </w:rPr>
        <w:t>O</w:t>
      </w:r>
      <w:r w:rsidR="005703C7">
        <w:rPr>
          <w:lang w:val="en-GB"/>
        </w:rPr>
        <w:t>ne may argue that existing QoE measurement reports can be used to indirectly infer user behaviour</w:t>
      </w:r>
      <w:r w:rsidR="002B33CA">
        <w:rPr>
          <w:lang w:val="en-GB"/>
        </w:rPr>
        <w:t xml:space="preserve">. However the start/stop </w:t>
      </w:r>
      <w:r w:rsidR="00991FDE">
        <w:rPr>
          <w:lang w:val="en-GB"/>
        </w:rPr>
        <w:t xml:space="preserve">indication </w:t>
      </w:r>
      <w:r w:rsidR="002B33CA">
        <w:rPr>
          <w:lang w:val="en-GB"/>
        </w:rPr>
        <w:t xml:space="preserve">mechanism will make is easier even for third-party eavesdroppers to </w:t>
      </w:r>
      <w:r w:rsidR="002B33CA">
        <w:t xml:space="preserve">obtain information about what kind of applications </w:t>
      </w:r>
      <w:r w:rsidR="002B33CA">
        <w:lastRenderedPageBreak/>
        <w:t>the user is running, how long these sessions last etc. This kind of “meta” information should be considered private and can be used, for example, to fingerprint users based on their usage pattern. Apart from this problem, the start/stop mechanism also entails significant complexity at the gNB since the gNB has to now keep trac</w:t>
      </w:r>
      <w:r w:rsidR="00991FDE">
        <w:t>k of the activity state for each session of each UE.</w:t>
      </w:r>
    </w:p>
    <w:p w14:paraId="1861E0FC" w14:textId="77777777" w:rsidR="0070289D" w:rsidRDefault="0070289D" w:rsidP="0070289D"/>
    <w:p w14:paraId="7E00DC44" w14:textId="257453C1" w:rsidR="0070289D" w:rsidRDefault="0070289D" w:rsidP="0070289D">
      <w:pPr>
        <w:rPr>
          <w:b/>
          <w:bCs/>
        </w:rPr>
      </w:pPr>
      <w:r w:rsidRPr="003C7000">
        <w:rPr>
          <w:b/>
          <w:bCs/>
        </w:rPr>
        <w:t>Observation</w:t>
      </w:r>
      <w:r>
        <w:rPr>
          <w:b/>
          <w:bCs/>
        </w:rPr>
        <w:t xml:space="preserve"> 1</w:t>
      </w:r>
      <w:r w:rsidRPr="003C7000">
        <w:rPr>
          <w:b/>
          <w:bCs/>
        </w:rPr>
        <w:t>: The use of start/stop indications may lead to leakage of unintentional and/or unauthorized information and entails significant complexity at both UE and gNB.</w:t>
      </w:r>
    </w:p>
    <w:p w14:paraId="7ABDD054" w14:textId="5EEE0FB7" w:rsidR="00991FDE" w:rsidRDefault="00991FDE" w:rsidP="0070289D">
      <w:pPr>
        <w:rPr>
          <w:b/>
          <w:bCs/>
        </w:rPr>
      </w:pPr>
    </w:p>
    <w:p w14:paraId="6DDDBA37" w14:textId="4C76A90B" w:rsidR="00991FDE" w:rsidRDefault="00991FDE" w:rsidP="0070289D">
      <w:r>
        <w:t xml:space="preserve">RAN2 needs to re-examine if we really need the start/stop indication mechanism to align immediate MDT and QoE measurement. The QoE measurement reports sent by the UE can be used to determine when an application session is active or not. This information seems sufficient for alignment purposes. </w:t>
      </w:r>
      <w:r w:rsidR="00EF013E">
        <w:t xml:space="preserve">The network can start immediate MDT (if it desires to) when it receives the “first” QoE measurement </w:t>
      </w:r>
      <w:r w:rsidR="00CF430A">
        <w:t>report and</w:t>
      </w:r>
      <w:r w:rsidR="00EF013E">
        <w:t xml:space="preserve"> can release immediate MDT after a suitable time has elapsed after the “last” QoE measurement report. </w:t>
      </w:r>
    </w:p>
    <w:p w14:paraId="460A92B8" w14:textId="1EAB744A" w:rsidR="00991FDE" w:rsidRDefault="00991FDE" w:rsidP="0070289D"/>
    <w:p w14:paraId="66F5E201" w14:textId="56F78C78" w:rsidR="00CF430A" w:rsidRPr="00991FDE" w:rsidRDefault="00CF430A" w:rsidP="00CF430A">
      <w:r>
        <w:t>There remains the question of how the UE AS layer determines that an application has started or ended. If it is based on explicit communication between the UE APP and UE AS layers, then CT1 would need to define appropriate AT commands which seems a bit late given the current Release 17 schedule. If it is based implicitly on receiving QoE reports from UE APP layer, then the gNB may as well rely on the QoE measurement reporting timing to align with MDT. Since MDT and QoE measurement configuration/report are sent separately in distinct RRC messages, there is no real need for further time alignment.</w:t>
      </w:r>
    </w:p>
    <w:p w14:paraId="4D9BA42B" w14:textId="77777777" w:rsidR="00CF430A" w:rsidRDefault="00CF430A" w:rsidP="0070289D"/>
    <w:p w14:paraId="3298ED63" w14:textId="5B93BBE2" w:rsidR="00991FDE" w:rsidRPr="00B77F82" w:rsidRDefault="00991FDE" w:rsidP="0070289D">
      <w:pPr>
        <w:rPr>
          <w:b/>
          <w:bCs/>
        </w:rPr>
      </w:pPr>
      <w:r w:rsidRPr="00B77F82">
        <w:rPr>
          <w:b/>
          <w:bCs/>
        </w:rPr>
        <w:t>Observation 2: The timing of QoE measurement reports suffices for aligning MDT with QoE measurements.</w:t>
      </w:r>
    </w:p>
    <w:p w14:paraId="7C8302A0" w14:textId="4908B779" w:rsidR="00991FDE" w:rsidRDefault="00991FDE" w:rsidP="0070289D"/>
    <w:p w14:paraId="677FF347" w14:textId="7B9C2A24" w:rsidR="0070289D" w:rsidRDefault="00CF430A" w:rsidP="002E6959">
      <w:pPr>
        <w:rPr>
          <w:lang w:val="en-GB"/>
        </w:rPr>
      </w:pPr>
      <w:r>
        <w:rPr>
          <w:lang w:val="en-GB"/>
        </w:rPr>
        <w:t>Based on observation 2, we think RAN2 should send an LS to RAN3 asking them to reconsider their agreement on the start/stop indication mechanism.</w:t>
      </w:r>
    </w:p>
    <w:p w14:paraId="31099347" w14:textId="5763C95B" w:rsidR="00CF430A" w:rsidRDefault="00CF430A" w:rsidP="002E6959">
      <w:pPr>
        <w:rPr>
          <w:lang w:val="en-GB"/>
        </w:rPr>
      </w:pPr>
    </w:p>
    <w:p w14:paraId="2A309B9A" w14:textId="2588140E" w:rsidR="00CF430A" w:rsidRPr="00B77F82" w:rsidRDefault="00CF430A" w:rsidP="002E6959">
      <w:pPr>
        <w:rPr>
          <w:b/>
          <w:bCs/>
          <w:lang w:val="en-GB"/>
        </w:rPr>
      </w:pPr>
      <w:r w:rsidRPr="00B77F82">
        <w:rPr>
          <w:b/>
          <w:bCs/>
          <w:lang w:val="en-GB"/>
        </w:rPr>
        <w:t xml:space="preserve">Proposal 1: RAN2 should inform RAN3 that a separate start/stop indication mechanism is not necessary for </w:t>
      </w:r>
      <w:r w:rsidR="00176801" w:rsidRPr="00B77F82">
        <w:rPr>
          <w:b/>
          <w:bCs/>
          <w:lang w:val="en-GB"/>
        </w:rPr>
        <w:t>aligning immediate MDT and QoE measurement.</w:t>
      </w:r>
    </w:p>
    <w:p w14:paraId="70762431" w14:textId="7F575419" w:rsidR="00176801" w:rsidRDefault="00176801" w:rsidP="002E6959">
      <w:pPr>
        <w:rPr>
          <w:lang w:val="en-GB"/>
        </w:rPr>
      </w:pPr>
    </w:p>
    <w:p w14:paraId="062ACEF7" w14:textId="708772E9" w:rsidR="00DA6ACE" w:rsidRDefault="00B77F82" w:rsidP="002E6959">
      <w:r>
        <w:rPr>
          <w:lang w:val="en-GB"/>
        </w:rPr>
        <w:t xml:space="preserve">We are yet to hear SA4’s reply to our LS </w:t>
      </w:r>
      <w:r>
        <w:rPr>
          <w:lang w:val="en-GB"/>
        </w:rPr>
        <w:fldChar w:fldCharType="begin"/>
      </w:r>
      <w:r>
        <w:rPr>
          <w:lang w:val="en-GB"/>
        </w:rPr>
        <w:instrText xml:space="preserve"> REF _Ref95543730 \r \h </w:instrText>
      </w:r>
      <w:r>
        <w:rPr>
          <w:lang w:val="en-GB"/>
        </w:rPr>
      </w:r>
      <w:r>
        <w:rPr>
          <w:lang w:val="en-GB"/>
        </w:rPr>
        <w:fldChar w:fldCharType="separate"/>
      </w:r>
      <w:r>
        <w:rPr>
          <w:lang w:val="en-GB"/>
        </w:rPr>
        <w:t>[3]</w:t>
      </w:r>
      <w:r>
        <w:rPr>
          <w:lang w:val="en-GB"/>
        </w:rPr>
        <w:fldChar w:fldCharType="end"/>
      </w:r>
      <w:r>
        <w:rPr>
          <w:lang w:val="en-GB"/>
        </w:rPr>
        <w:t xml:space="preserve">. Based on SA4’s reply, </w:t>
      </w:r>
      <w:r w:rsidR="00DA6ACE">
        <w:rPr>
          <w:lang w:val="en-GB"/>
        </w:rPr>
        <w:t xml:space="preserve">we will need to evaluate whether a start/start indication mechanism or explicit out-of-area indication in QoE release </w:t>
      </w:r>
      <w:r w:rsidR="00DA6ACE">
        <w:rPr>
          <w:lang w:val="en-GB"/>
        </w:rPr>
        <w:fldChar w:fldCharType="begin"/>
      </w:r>
      <w:r w:rsidR="00DA6ACE">
        <w:rPr>
          <w:lang w:val="en-GB"/>
        </w:rPr>
        <w:instrText xml:space="preserve"> REF _Ref95550911 \r \h </w:instrText>
      </w:r>
      <w:r w:rsidR="00DA6ACE">
        <w:rPr>
          <w:lang w:val="en-GB"/>
        </w:rPr>
      </w:r>
      <w:r w:rsidR="00DA6ACE">
        <w:rPr>
          <w:lang w:val="en-GB"/>
        </w:rPr>
        <w:fldChar w:fldCharType="separate"/>
      </w:r>
      <w:r w:rsidR="00DA6ACE">
        <w:rPr>
          <w:lang w:val="en-GB"/>
        </w:rPr>
        <w:t>[4]</w:t>
      </w:r>
      <w:r w:rsidR="00DA6ACE">
        <w:rPr>
          <w:lang w:val="en-GB"/>
        </w:rPr>
        <w:fldChar w:fldCharType="end"/>
      </w:r>
      <w:r w:rsidR="00DA6ACE">
        <w:rPr>
          <w:lang w:val="en-GB"/>
        </w:rPr>
        <w:t xml:space="preserve"> is needed. It may very well be that no new mechanism is needed if </w:t>
      </w:r>
      <w:r w:rsidR="00DA6ACE" w:rsidRPr="00DA6ACE">
        <w:t>LocationFilter in the Quality Reporting Scheme</w:t>
      </w:r>
      <w:r w:rsidR="00DA6ACE">
        <w:t xml:space="preserve"> suffices.</w:t>
      </w:r>
    </w:p>
    <w:p w14:paraId="17504B7C" w14:textId="7E6C8AD1" w:rsidR="00DA6ACE" w:rsidRDefault="00DA6ACE" w:rsidP="002E6959"/>
    <w:p w14:paraId="25166BAA" w14:textId="452AA8CB" w:rsidR="00DA6ACE" w:rsidRPr="00DA6ACE" w:rsidRDefault="00DA6ACE" w:rsidP="002E6959">
      <w:pPr>
        <w:rPr>
          <w:b/>
          <w:bCs/>
          <w:lang w:val="en-GB"/>
        </w:rPr>
      </w:pPr>
      <w:r w:rsidRPr="00DA6ACE">
        <w:rPr>
          <w:b/>
          <w:bCs/>
        </w:rPr>
        <w:t>Proposal 2: A final decision on how mobility in QoE is supported with respect to area scope management should wait for SA4 reply.</w:t>
      </w:r>
    </w:p>
    <w:p w14:paraId="2896E657" w14:textId="3DABA2E5" w:rsidR="00854A60" w:rsidRPr="00A6576F" w:rsidRDefault="009C5A97" w:rsidP="005E56C2">
      <w:pPr>
        <w:pStyle w:val="Heading1"/>
        <w:jc w:val="both"/>
      </w:pPr>
      <w:r w:rsidRPr="00A6576F">
        <w:t>Conclusion</w:t>
      </w:r>
      <w:r w:rsidR="00F54B69">
        <w:t>s</w:t>
      </w:r>
    </w:p>
    <w:p w14:paraId="6738D34B" w14:textId="4223E681" w:rsidR="00191EDE" w:rsidRDefault="00F54B69" w:rsidP="00C808C4">
      <w:pPr>
        <w:jc w:val="both"/>
        <w:rPr>
          <w:iCs/>
        </w:rPr>
      </w:pPr>
      <w:r>
        <w:rPr>
          <w:iCs/>
        </w:rPr>
        <w:t>In this document, we provide our views on</w:t>
      </w:r>
      <w:r w:rsidR="00DA6ACE">
        <w:rPr>
          <w:iCs/>
        </w:rPr>
        <w:t xml:space="preserve"> supporting mobility for QoE. </w:t>
      </w:r>
      <w:r w:rsidR="00191EDE">
        <w:rPr>
          <w:iCs/>
        </w:rPr>
        <w:t>Our observations and proposal are summarized below.</w:t>
      </w:r>
    </w:p>
    <w:p w14:paraId="764EBC79" w14:textId="45A17773" w:rsidR="00DA6ACE" w:rsidRDefault="00DA6ACE" w:rsidP="00C808C4">
      <w:pPr>
        <w:jc w:val="both"/>
        <w:rPr>
          <w:iCs/>
        </w:rPr>
      </w:pPr>
    </w:p>
    <w:p w14:paraId="5E705C9A" w14:textId="0F6CAD70" w:rsidR="00DA6ACE" w:rsidRPr="00DA6ACE" w:rsidRDefault="00DA6ACE" w:rsidP="00DA6ACE">
      <w:pPr>
        <w:rPr>
          <w:b/>
          <w:bCs/>
        </w:rPr>
      </w:pPr>
      <w:r w:rsidRPr="003C7000">
        <w:rPr>
          <w:b/>
          <w:bCs/>
        </w:rPr>
        <w:t>Observation</w:t>
      </w:r>
      <w:r>
        <w:rPr>
          <w:b/>
          <w:bCs/>
        </w:rPr>
        <w:t xml:space="preserve"> 1</w:t>
      </w:r>
      <w:r w:rsidRPr="003C7000">
        <w:rPr>
          <w:b/>
          <w:bCs/>
        </w:rPr>
        <w:t>: The use of start/stop indications may lead to leakage of unintentional and/or unauthorized information and entails significant complexity at both UE and gNB.</w:t>
      </w:r>
    </w:p>
    <w:p w14:paraId="7A567A3C" w14:textId="629C4967" w:rsidR="00DA6ACE" w:rsidRDefault="00DA6ACE" w:rsidP="00C808C4">
      <w:pPr>
        <w:jc w:val="both"/>
        <w:rPr>
          <w:iCs/>
        </w:rPr>
      </w:pPr>
    </w:p>
    <w:p w14:paraId="0DB15307" w14:textId="41BC4CBB" w:rsidR="00DA6ACE" w:rsidRPr="00DA6ACE" w:rsidRDefault="00DA6ACE" w:rsidP="00DA6ACE">
      <w:pPr>
        <w:rPr>
          <w:b/>
          <w:bCs/>
        </w:rPr>
      </w:pPr>
      <w:r w:rsidRPr="00B77F82">
        <w:rPr>
          <w:b/>
          <w:bCs/>
        </w:rPr>
        <w:t>Observation 2: The timing of QoE measurement reports suffices for aligning MDT with QoE measurements.</w:t>
      </w:r>
    </w:p>
    <w:p w14:paraId="3563CCF7" w14:textId="77777777" w:rsidR="00DA6ACE" w:rsidRPr="00B77F82" w:rsidRDefault="00DA6ACE" w:rsidP="00DA6ACE">
      <w:pPr>
        <w:rPr>
          <w:b/>
          <w:bCs/>
          <w:lang w:val="en-GB"/>
        </w:rPr>
      </w:pPr>
      <w:r w:rsidRPr="00B77F82">
        <w:rPr>
          <w:b/>
          <w:bCs/>
          <w:lang w:val="en-GB"/>
        </w:rPr>
        <w:lastRenderedPageBreak/>
        <w:t>Proposal 1: RAN2 should inform RAN3 that a separate start/stop indication mechanism is not necessary for aligning immediate MDT and QoE measurement.</w:t>
      </w:r>
    </w:p>
    <w:p w14:paraId="4594F645" w14:textId="7EB89FB0" w:rsidR="00DA6ACE" w:rsidRDefault="00DA6ACE" w:rsidP="00C808C4">
      <w:pPr>
        <w:jc w:val="both"/>
        <w:rPr>
          <w:iCs/>
        </w:rPr>
      </w:pPr>
    </w:p>
    <w:p w14:paraId="0BD30EFD" w14:textId="6FD8704E" w:rsidR="00DA6ACE" w:rsidRPr="00DA6ACE" w:rsidRDefault="00DA6ACE" w:rsidP="00DA6ACE">
      <w:pPr>
        <w:rPr>
          <w:b/>
          <w:bCs/>
          <w:lang w:val="en-GB"/>
        </w:rPr>
      </w:pPr>
      <w:r w:rsidRPr="00DA6ACE">
        <w:rPr>
          <w:b/>
          <w:bCs/>
        </w:rPr>
        <w:t>Proposal 2: A final decision on how mobility in QoE is supported with respect to area scope management should wait for SA4 reply.</w:t>
      </w:r>
    </w:p>
    <w:p w14:paraId="2E75F001" w14:textId="77777777" w:rsidR="007E70BB" w:rsidRPr="00A6576F" w:rsidRDefault="005C63AE" w:rsidP="005E56C2">
      <w:pPr>
        <w:pStyle w:val="Heading1"/>
        <w:jc w:val="both"/>
      </w:pPr>
      <w:r w:rsidRPr="00A6576F">
        <w:t>References</w:t>
      </w:r>
    </w:p>
    <w:p w14:paraId="0678C96D" w14:textId="1E24B83A" w:rsidR="002569A4" w:rsidRDefault="00C808C4" w:rsidP="00167CE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0" w:name="_Ref95405683"/>
      <w:bookmarkStart w:id="1" w:name="_Ref95542035"/>
      <w:r w:rsidRPr="00C808C4">
        <w:rPr>
          <w:bCs/>
          <w:lang w:val="en-GB"/>
        </w:rPr>
        <w:t>R2-2202043</w:t>
      </w:r>
      <w:bookmarkEnd w:id="0"/>
      <w:r w:rsidRPr="00C808C4">
        <w:rPr>
          <w:bCs/>
          <w:lang w:val="en-GB"/>
        </w:rPr>
        <w:t>, QoE related open issue list, China Unicom</w:t>
      </w:r>
      <w:bookmarkEnd w:id="1"/>
    </w:p>
    <w:p w14:paraId="4B491AD5" w14:textId="77777777" w:rsidR="006A6B1E" w:rsidRDefault="00C808C4" w:rsidP="006A6B1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2" w:name="_Ref95542045"/>
      <w:r w:rsidRPr="00C808C4">
        <w:rPr>
          <w:bCs/>
          <w:lang w:val="en-GB"/>
        </w:rPr>
        <w:t>R3-221243, LS on QoE Measurement Session Start and Measurement Session End Indication from the UE, Source: RAN3</w:t>
      </w:r>
      <w:bookmarkEnd w:id="2"/>
    </w:p>
    <w:p w14:paraId="02DAA51D" w14:textId="72B394D1" w:rsidR="006A6B1E" w:rsidRDefault="006A6B1E" w:rsidP="006A6B1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3" w:name="_Ref95543730"/>
      <w:r w:rsidRPr="006A6B1E">
        <w:rPr>
          <w:bCs/>
          <w:lang w:val="en-GB"/>
        </w:rPr>
        <w:t>R2-2111665, LS on SA4 requirements for QoE, Source:</w:t>
      </w:r>
      <w:r w:rsidR="005F7313">
        <w:rPr>
          <w:bCs/>
          <w:lang w:val="en-GB"/>
        </w:rPr>
        <w:t xml:space="preserve"> </w:t>
      </w:r>
      <w:r w:rsidRPr="006A6B1E">
        <w:rPr>
          <w:bCs/>
          <w:lang w:val="en-GB"/>
        </w:rPr>
        <w:t>RAN2</w:t>
      </w:r>
      <w:bookmarkEnd w:id="3"/>
    </w:p>
    <w:p w14:paraId="2849C938" w14:textId="23233F1D" w:rsidR="005703C7" w:rsidRPr="006A6B1E" w:rsidRDefault="005703C7" w:rsidP="006A6B1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bCs/>
          <w:lang w:val="en-GB"/>
        </w:rPr>
      </w:pPr>
      <w:bookmarkStart w:id="4" w:name="_Ref95550911"/>
      <w:r w:rsidRPr="005703C7">
        <w:rPr>
          <w:bCs/>
          <w:lang w:val="en-GB"/>
        </w:rPr>
        <w:t>R2-2201183, Supporting mobility for NR QoE, Apple</w:t>
      </w:r>
      <w:bookmarkEnd w:id="4"/>
    </w:p>
    <w:p w14:paraId="39E0DF13" w14:textId="77777777" w:rsidR="006A6B1E" w:rsidRDefault="006A6B1E" w:rsidP="006A6B1E">
      <w:pPr>
        <w:overflowPunct w:val="0"/>
        <w:autoSpaceDE w:val="0"/>
        <w:autoSpaceDN w:val="0"/>
        <w:adjustRightInd w:val="0"/>
        <w:spacing w:before="100" w:beforeAutospacing="1" w:after="120"/>
        <w:ind w:left="562"/>
        <w:jc w:val="both"/>
        <w:textAlignment w:val="baseline"/>
        <w:rPr>
          <w:bCs/>
          <w:lang w:val="en-GB"/>
        </w:rPr>
      </w:pPr>
    </w:p>
    <w:p w14:paraId="125D61FD" w14:textId="77777777" w:rsidR="006A6B1E" w:rsidRPr="00C808C4" w:rsidRDefault="006A6B1E" w:rsidP="006A6B1E">
      <w:pPr>
        <w:overflowPunct w:val="0"/>
        <w:autoSpaceDE w:val="0"/>
        <w:autoSpaceDN w:val="0"/>
        <w:adjustRightInd w:val="0"/>
        <w:spacing w:before="100" w:beforeAutospacing="1" w:after="120"/>
        <w:ind w:left="562"/>
        <w:jc w:val="both"/>
        <w:textAlignment w:val="baseline"/>
        <w:rPr>
          <w:bCs/>
          <w:lang w:val="en-GB"/>
        </w:rPr>
      </w:pPr>
    </w:p>
    <w:p w14:paraId="7AE121CC" w14:textId="77777777" w:rsidR="00A826EF" w:rsidRPr="004A3E6B" w:rsidRDefault="00A826EF" w:rsidP="00A826EF">
      <w:pPr>
        <w:overflowPunct w:val="0"/>
        <w:autoSpaceDE w:val="0"/>
        <w:autoSpaceDN w:val="0"/>
        <w:adjustRightInd w:val="0"/>
        <w:spacing w:before="100" w:beforeAutospacing="1" w:after="120"/>
        <w:ind w:left="562"/>
        <w:jc w:val="both"/>
        <w:textAlignment w:val="baseline"/>
        <w:rPr>
          <w:bCs/>
        </w:rPr>
      </w:pPr>
    </w:p>
    <w:p w14:paraId="73CB1064" w14:textId="5DB2C186" w:rsidR="00065EFB" w:rsidRPr="004A3E6B" w:rsidRDefault="00065EFB" w:rsidP="001D332B">
      <w:pPr>
        <w:overflowPunct w:val="0"/>
        <w:autoSpaceDE w:val="0"/>
        <w:autoSpaceDN w:val="0"/>
        <w:adjustRightInd w:val="0"/>
        <w:spacing w:before="100" w:beforeAutospacing="1" w:after="120"/>
        <w:ind w:left="562"/>
        <w:jc w:val="both"/>
        <w:textAlignment w:val="baseline"/>
        <w:rPr>
          <w:bCs/>
        </w:rPr>
      </w:pPr>
    </w:p>
    <w:sectPr w:rsidR="00065EFB" w:rsidRPr="004A3E6B"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240D9" w14:textId="77777777" w:rsidR="002D4779" w:rsidRDefault="002D4779">
      <w:r>
        <w:separator/>
      </w:r>
    </w:p>
  </w:endnote>
  <w:endnote w:type="continuationSeparator" w:id="0">
    <w:p w14:paraId="6FB30557" w14:textId="77777777" w:rsidR="002D4779" w:rsidRDefault="002D4779">
      <w:r>
        <w:continuationSeparator/>
      </w:r>
    </w:p>
  </w:endnote>
  <w:endnote w:type="continuationNotice" w:id="1">
    <w:p w14:paraId="6790A777" w14:textId="77777777" w:rsidR="002D4779" w:rsidRDefault="002D4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2B928" w14:textId="77777777" w:rsidR="002D4779" w:rsidRDefault="002D4779">
      <w:r>
        <w:separator/>
      </w:r>
    </w:p>
  </w:footnote>
  <w:footnote w:type="continuationSeparator" w:id="0">
    <w:p w14:paraId="609F9B8F" w14:textId="77777777" w:rsidR="002D4779" w:rsidRDefault="002D4779">
      <w:r>
        <w:continuationSeparator/>
      </w:r>
    </w:p>
  </w:footnote>
  <w:footnote w:type="continuationNotice" w:id="1">
    <w:p w14:paraId="67BFD455" w14:textId="77777777" w:rsidR="002D4779" w:rsidRDefault="002D47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4CE0F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122D3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D3EAD40"/>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B01C6"/>
    <w:multiLevelType w:val="multilevel"/>
    <w:tmpl w:val="02FB01C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AAA3EBB"/>
    <w:multiLevelType w:val="hybridMultilevel"/>
    <w:tmpl w:val="541AE236"/>
    <w:lvl w:ilvl="0" w:tplc="1E7619E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0984E01"/>
    <w:multiLevelType w:val="hybridMultilevel"/>
    <w:tmpl w:val="6926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6"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5"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6397257"/>
    <w:multiLevelType w:val="hybridMultilevel"/>
    <w:tmpl w:val="81806CC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18"/>
  </w:num>
  <w:num w:numId="4">
    <w:abstractNumId w:val="21"/>
  </w:num>
  <w:num w:numId="5">
    <w:abstractNumId w:val="14"/>
  </w:num>
  <w:num w:numId="6">
    <w:abstractNumId w:val="24"/>
  </w:num>
  <w:num w:numId="7">
    <w:abstractNumId w:val="32"/>
  </w:num>
  <w:num w:numId="8">
    <w:abstractNumId w:val="15"/>
  </w:num>
  <w:num w:numId="9">
    <w:abstractNumId w:val="29"/>
  </w:num>
  <w:num w:numId="10">
    <w:abstractNumId w:val="4"/>
  </w:num>
  <w:num w:numId="11">
    <w:abstractNumId w:val="34"/>
  </w:num>
  <w:num w:numId="12">
    <w:abstractNumId w:val="7"/>
  </w:num>
  <w:num w:numId="13">
    <w:abstractNumId w:val="31"/>
  </w:num>
  <w:num w:numId="14">
    <w:abstractNumId w:val="23"/>
  </w:num>
  <w:num w:numId="15">
    <w:abstractNumId w:val="40"/>
  </w:num>
  <w:num w:numId="16">
    <w:abstractNumId w:val="44"/>
  </w:num>
  <w:num w:numId="17">
    <w:abstractNumId w:val="13"/>
  </w:num>
  <w:num w:numId="18">
    <w:abstractNumId w:val="33"/>
  </w:num>
  <w:num w:numId="19">
    <w:abstractNumId w:val="16"/>
  </w:num>
  <w:num w:numId="20">
    <w:abstractNumId w:val="12"/>
  </w:num>
  <w:num w:numId="21">
    <w:abstractNumId w:val="30"/>
  </w:num>
  <w:num w:numId="22">
    <w:abstractNumId w:val="8"/>
  </w:num>
  <w:num w:numId="23">
    <w:abstractNumId w:val="26"/>
  </w:num>
  <w:num w:numId="24">
    <w:abstractNumId w:val="38"/>
  </w:num>
  <w:num w:numId="25">
    <w:abstractNumId w:val="43"/>
  </w:num>
  <w:num w:numId="26">
    <w:abstractNumId w:val="25"/>
  </w:num>
  <w:num w:numId="27">
    <w:abstractNumId w:val="20"/>
  </w:num>
  <w:num w:numId="28">
    <w:abstractNumId w:val="11"/>
  </w:num>
  <w:num w:numId="29">
    <w:abstractNumId w:val="42"/>
  </w:num>
  <w:num w:numId="30">
    <w:abstractNumId w:val="9"/>
  </w:num>
  <w:num w:numId="31">
    <w:abstractNumId w:val="36"/>
  </w:num>
  <w:num w:numId="32">
    <w:abstractNumId w:val="35"/>
  </w:num>
  <w:num w:numId="33">
    <w:abstractNumId w:val="10"/>
  </w:num>
  <w:num w:numId="34">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9"/>
  </w:num>
  <w:num w:numId="37">
    <w:abstractNumId w:val="17"/>
  </w:num>
  <w:num w:numId="38">
    <w:abstractNumId w:val="19"/>
  </w:num>
  <w:num w:numId="39">
    <w:abstractNumId w:val="41"/>
  </w:num>
  <w:num w:numId="40">
    <w:abstractNumId w:val="37"/>
  </w:num>
  <w:num w:numId="41">
    <w:abstractNumId w:val="0"/>
  </w:num>
  <w:num w:numId="42">
    <w:abstractNumId w:val="1"/>
  </w:num>
  <w:num w:numId="43">
    <w:abstractNumId w:val="2"/>
  </w:num>
  <w:num w:numId="44">
    <w:abstractNumId w:val="27"/>
  </w:num>
  <w:num w:numId="45">
    <w:abstractNumId w:val="6"/>
  </w:num>
  <w:num w:numId="4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B4A"/>
    <w:rsid w:val="00065E1A"/>
    <w:rsid w:val="00065EFB"/>
    <w:rsid w:val="000668B8"/>
    <w:rsid w:val="00067759"/>
    <w:rsid w:val="000707A2"/>
    <w:rsid w:val="0007086A"/>
    <w:rsid w:val="000708A3"/>
    <w:rsid w:val="00071F96"/>
    <w:rsid w:val="00071F9D"/>
    <w:rsid w:val="000721FE"/>
    <w:rsid w:val="00072B34"/>
    <w:rsid w:val="0007330B"/>
    <w:rsid w:val="00075AB6"/>
    <w:rsid w:val="00075C5D"/>
    <w:rsid w:val="00076213"/>
    <w:rsid w:val="00076746"/>
    <w:rsid w:val="0007717C"/>
    <w:rsid w:val="00077B17"/>
    <w:rsid w:val="00077D33"/>
    <w:rsid w:val="00077E5F"/>
    <w:rsid w:val="0008036A"/>
    <w:rsid w:val="0008055F"/>
    <w:rsid w:val="00080878"/>
    <w:rsid w:val="00080A67"/>
    <w:rsid w:val="00080ED3"/>
    <w:rsid w:val="000819CF"/>
    <w:rsid w:val="00081AE6"/>
    <w:rsid w:val="00082808"/>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3CF2"/>
    <w:rsid w:val="000946AD"/>
    <w:rsid w:val="0009510F"/>
    <w:rsid w:val="000954FB"/>
    <w:rsid w:val="00095575"/>
    <w:rsid w:val="0009557D"/>
    <w:rsid w:val="0009595C"/>
    <w:rsid w:val="0009616C"/>
    <w:rsid w:val="000968C1"/>
    <w:rsid w:val="000972CE"/>
    <w:rsid w:val="000973EF"/>
    <w:rsid w:val="000A04E1"/>
    <w:rsid w:val="000A0610"/>
    <w:rsid w:val="000A099C"/>
    <w:rsid w:val="000A0AF2"/>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7C"/>
    <w:rsid w:val="000A7CEF"/>
    <w:rsid w:val="000A7D50"/>
    <w:rsid w:val="000B028B"/>
    <w:rsid w:val="000B09F9"/>
    <w:rsid w:val="000B0DB0"/>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A61"/>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C4"/>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D7C0B"/>
    <w:rsid w:val="000E0527"/>
    <w:rsid w:val="000E0855"/>
    <w:rsid w:val="000E0A04"/>
    <w:rsid w:val="000E113C"/>
    <w:rsid w:val="000E1875"/>
    <w:rsid w:val="000E1E92"/>
    <w:rsid w:val="000E3413"/>
    <w:rsid w:val="000E3A5F"/>
    <w:rsid w:val="000E3B59"/>
    <w:rsid w:val="000E3CE6"/>
    <w:rsid w:val="000E49DC"/>
    <w:rsid w:val="000E4B42"/>
    <w:rsid w:val="000E5750"/>
    <w:rsid w:val="000E63BE"/>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8F1"/>
    <w:rsid w:val="000F6DF3"/>
    <w:rsid w:val="000F75D8"/>
    <w:rsid w:val="001002DA"/>
    <w:rsid w:val="001005FF"/>
    <w:rsid w:val="001007F2"/>
    <w:rsid w:val="00100D9C"/>
    <w:rsid w:val="00101153"/>
    <w:rsid w:val="001012B0"/>
    <w:rsid w:val="00102304"/>
    <w:rsid w:val="0010434A"/>
    <w:rsid w:val="001045CC"/>
    <w:rsid w:val="00104D81"/>
    <w:rsid w:val="001054E8"/>
    <w:rsid w:val="001062FB"/>
    <w:rsid w:val="001063E6"/>
    <w:rsid w:val="0010678F"/>
    <w:rsid w:val="00106C42"/>
    <w:rsid w:val="00107107"/>
    <w:rsid w:val="0010713F"/>
    <w:rsid w:val="00107310"/>
    <w:rsid w:val="001076C5"/>
    <w:rsid w:val="00107864"/>
    <w:rsid w:val="00110596"/>
    <w:rsid w:val="00110C67"/>
    <w:rsid w:val="0011121F"/>
    <w:rsid w:val="00112A0F"/>
    <w:rsid w:val="00112DC1"/>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589"/>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2B79"/>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07A"/>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801"/>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1EDE"/>
    <w:rsid w:val="001927DF"/>
    <w:rsid w:val="001932FC"/>
    <w:rsid w:val="0019341A"/>
    <w:rsid w:val="00193704"/>
    <w:rsid w:val="0019487F"/>
    <w:rsid w:val="00194B49"/>
    <w:rsid w:val="00194F24"/>
    <w:rsid w:val="00195196"/>
    <w:rsid w:val="001958BF"/>
    <w:rsid w:val="0019604B"/>
    <w:rsid w:val="001961C7"/>
    <w:rsid w:val="00196A3C"/>
    <w:rsid w:val="00197402"/>
    <w:rsid w:val="0019757B"/>
    <w:rsid w:val="00197DF9"/>
    <w:rsid w:val="001A0F35"/>
    <w:rsid w:val="001A10BD"/>
    <w:rsid w:val="001A1549"/>
    <w:rsid w:val="001A1987"/>
    <w:rsid w:val="001A2564"/>
    <w:rsid w:val="001A2707"/>
    <w:rsid w:val="001A279E"/>
    <w:rsid w:val="001A3324"/>
    <w:rsid w:val="001A33C5"/>
    <w:rsid w:val="001A35C1"/>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32B"/>
    <w:rsid w:val="001D3954"/>
    <w:rsid w:val="001D42FB"/>
    <w:rsid w:val="001D479D"/>
    <w:rsid w:val="001D4917"/>
    <w:rsid w:val="001D51BA"/>
    <w:rsid w:val="001D53DE"/>
    <w:rsid w:val="001D5635"/>
    <w:rsid w:val="001D56A3"/>
    <w:rsid w:val="001D5702"/>
    <w:rsid w:val="001D5D95"/>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77D"/>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6F35"/>
    <w:rsid w:val="00217079"/>
    <w:rsid w:val="0021735F"/>
    <w:rsid w:val="002175DB"/>
    <w:rsid w:val="00217ABD"/>
    <w:rsid w:val="00217D43"/>
    <w:rsid w:val="00220600"/>
    <w:rsid w:val="0022070B"/>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1EDF"/>
    <w:rsid w:val="00253F2C"/>
    <w:rsid w:val="00254BE9"/>
    <w:rsid w:val="002562F8"/>
    <w:rsid w:val="002569A4"/>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317"/>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CA"/>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4E"/>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779"/>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959"/>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ECA"/>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47D"/>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CCD"/>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0866"/>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0"/>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E7DB0"/>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277"/>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1CB"/>
    <w:rsid w:val="00410202"/>
    <w:rsid w:val="00410B72"/>
    <w:rsid w:val="00410E67"/>
    <w:rsid w:val="00410F18"/>
    <w:rsid w:val="00410FF2"/>
    <w:rsid w:val="004116D8"/>
    <w:rsid w:val="00411965"/>
    <w:rsid w:val="0041263E"/>
    <w:rsid w:val="00412820"/>
    <w:rsid w:val="00412E13"/>
    <w:rsid w:val="00413288"/>
    <w:rsid w:val="00413AAC"/>
    <w:rsid w:val="00413FE9"/>
    <w:rsid w:val="004142B5"/>
    <w:rsid w:val="00415415"/>
    <w:rsid w:val="0041547C"/>
    <w:rsid w:val="0041576E"/>
    <w:rsid w:val="00415856"/>
    <w:rsid w:val="00415AE2"/>
    <w:rsid w:val="00415CFE"/>
    <w:rsid w:val="0041629D"/>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E74"/>
    <w:rsid w:val="00433FC2"/>
    <w:rsid w:val="004346AB"/>
    <w:rsid w:val="0043585E"/>
    <w:rsid w:val="00435AA5"/>
    <w:rsid w:val="00435AF5"/>
    <w:rsid w:val="00435C6C"/>
    <w:rsid w:val="00435F36"/>
    <w:rsid w:val="00437447"/>
    <w:rsid w:val="0043752A"/>
    <w:rsid w:val="0043789E"/>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7E7"/>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8792E"/>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E6B"/>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CE"/>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063"/>
    <w:rsid w:val="00522248"/>
    <w:rsid w:val="00523640"/>
    <w:rsid w:val="0052364D"/>
    <w:rsid w:val="00523D37"/>
    <w:rsid w:val="00524AC7"/>
    <w:rsid w:val="00524C4A"/>
    <w:rsid w:val="00525315"/>
    <w:rsid w:val="00525439"/>
    <w:rsid w:val="00526167"/>
    <w:rsid w:val="0052616B"/>
    <w:rsid w:val="00526186"/>
    <w:rsid w:val="00526998"/>
    <w:rsid w:val="00526A44"/>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3C7"/>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0590"/>
    <w:rsid w:val="0058169C"/>
    <w:rsid w:val="0058172D"/>
    <w:rsid w:val="00581F3E"/>
    <w:rsid w:val="00582809"/>
    <w:rsid w:val="00582E08"/>
    <w:rsid w:val="00582E97"/>
    <w:rsid w:val="00583C22"/>
    <w:rsid w:val="00583C62"/>
    <w:rsid w:val="00583D0A"/>
    <w:rsid w:val="00584529"/>
    <w:rsid w:val="00584668"/>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6F22"/>
    <w:rsid w:val="0059779B"/>
    <w:rsid w:val="005A0A0F"/>
    <w:rsid w:val="005A1ED4"/>
    <w:rsid w:val="005A209A"/>
    <w:rsid w:val="005A22BB"/>
    <w:rsid w:val="005A2941"/>
    <w:rsid w:val="005A2D3E"/>
    <w:rsid w:val="005A2DB9"/>
    <w:rsid w:val="005A3357"/>
    <w:rsid w:val="005A368F"/>
    <w:rsid w:val="005A3F97"/>
    <w:rsid w:val="005A4515"/>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3DD8"/>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9C2"/>
    <w:rsid w:val="005E1C98"/>
    <w:rsid w:val="005E2259"/>
    <w:rsid w:val="005E385F"/>
    <w:rsid w:val="005E3997"/>
    <w:rsid w:val="005E3DE7"/>
    <w:rsid w:val="005E3EEB"/>
    <w:rsid w:val="005E42DC"/>
    <w:rsid w:val="005E5197"/>
    <w:rsid w:val="005E53B0"/>
    <w:rsid w:val="005E56C2"/>
    <w:rsid w:val="005E589B"/>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313"/>
    <w:rsid w:val="005F74BE"/>
    <w:rsid w:val="005F7943"/>
    <w:rsid w:val="0060080E"/>
    <w:rsid w:val="0060082B"/>
    <w:rsid w:val="00600BB2"/>
    <w:rsid w:val="00601161"/>
    <w:rsid w:val="0060179E"/>
    <w:rsid w:val="0060283C"/>
    <w:rsid w:val="00604443"/>
    <w:rsid w:val="00604BA5"/>
    <w:rsid w:val="00604BC4"/>
    <w:rsid w:val="00604F14"/>
    <w:rsid w:val="00605391"/>
    <w:rsid w:val="0060539F"/>
    <w:rsid w:val="00605732"/>
    <w:rsid w:val="00605F62"/>
    <w:rsid w:val="00606360"/>
    <w:rsid w:val="006063CC"/>
    <w:rsid w:val="00606643"/>
    <w:rsid w:val="006072FF"/>
    <w:rsid w:val="00607BB5"/>
    <w:rsid w:val="00610361"/>
    <w:rsid w:val="00610417"/>
    <w:rsid w:val="00610612"/>
    <w:rsid w:val="00610A0E"/>
    <w:rsid w:val="00611245"/>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189"/>
    <w:rsid w:val="0062523C"/>
    <w:rsid w:val="00625396"/>
    <w:rsid w:val="006254F5"/>
    <w:rsid w:val="006259A6"/>
    <w:rsid w:val="00625AA8"/>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87FB3"/>
    <w:rsid w:val="0069099B"/>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97E83"/>
    <w:rsid w:val="006A05F0"/>
    <w:rsid w:val="006A0A9A"/>
    <w:rsid w:val="006A1AF7"/>
    <w:rsid w:val="006A1E84"/>
    <w:rsid w:val="006A2039"/>
    <w:rsid w:val="006A276B"/>
    <w:rsid w:val="006A27A1"/>
    <w:rsid w:val="006A282A"/>
    <w:rsid w:val="006A2E4E"/>
    <w:rsid w:val="006A3A20"/>
    <w:rsid w:val="006A3B17"/>
    <w:rsid w:val="006A4602"/>
    <w:rsid w:val="006A46FB"/>
    <w:rsid w:val="006A5132"/>
    <w:rsid w:val="006A53AA"/>
    <w:rsid w:val="006A5E28"/>
    <w:rsid w:val="006A5E37"/>
    <w:rsid w:val="006A5E99"/>
    <w:rsid w:val="006A63BF"/>
    <w:rsid w:val="006A697B"/>
    <w:rsid w:val="006A6B07"/>
    <w:rsid w:val="006A6B1E"/>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868"/>
    <w:rsid w:val="006D338F"/>
    <w:rsid w:val="006D3AC2"/>
    <w:rsid w:val="006D3AC9"/>
    <w:rsid w:val="006D4105"/>
    <w:rsid w:val="006D46E9"/>
    <w:rsid w:val="006D587C"/>
    <w:rsid w:val="006D59C7"/>
    <w:rsid w:val="006D59F3"/>
    <w:rsid w:val="006D5C05"/>
    <w:rsid w:val="006D5D20"/>
    <w:rsid w:val="006D630F"/>
    <w:rsid w:val="006D63B3"/>
    <w:rsid w:val="006D6D66"/>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89D"/>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1B2"/>
    <w:rsid w:val="00731E32"/>
    <w:rsid w:val="007320D4"/>
    <w:rsid w:val="00733BDE"/>
    <w:rsid w:val="00734874"/>
    <w:rsid w:val="007348B1"/>
    <w:rsid w:val="00734B23"/>
    <w:rsid w:val="00734D99"/>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3E80"/>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2844"/>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B0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185"/>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0F5E"/>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D1D"/>
    <w:rsid w:val="00844E80"/>
    <w:rsid w:val="00845A39"/>
    <w:rsid w:val="00845B06"/>
    <w:rsid w:val="00845B8D"/>
    <w:rsid w:val="00846FE7"/>
    <w:rsid w:val="00847424"/>
    <w:rsid w:val="00847574"/>
    <w:rsid w:val="0084761B"/>
    <w:rsid w:val="008476B8"/>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1CAB"/>
    <w:rsid w:val="008829A6"/>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3C3"/>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8EC"/>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6F77"/>
    <w:rsid w:val="009279D3"/>
    <w:rsid w:val="00927B3F"/>
    <w:rsid w:val="00930BD3"/>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C27"/>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0A7B"/>
    <w:rsid w:val="00991007"/>
    <w:rsid w:val="00991605"/>
    <w:rsid w:val="00991761"/>
    <w:rsid w:val="00991870"/>
    <w:rsid w:val="00991ADE"/>
    <w:rsid w:val="00991BE8"/>
    <w:rsid w:val="00991FDE"/>
    <w:rsid w:val="009924E3"/>
    <w:rsid w:val="00992516"/>
    <w:rsid w:val="0099299D"/>
    <w:rsid w:val="009929BE"/>
    <w:rsid w:val="00993049"/>
    <w:rsid w:val="009931A8"/>
    <w:rsid w:val="0099487F"/>
    <w:rsid w:val="00994DCA"/>
    <w:rsid w:val="00994EEF"/>
    <w:rsid w:val="009950D6"/>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50"/>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CB1"/>
    <w:rsid w:val="00A26D56"/>
    <w:rsid w:val="00A26E69"/>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6EF"/>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329"/>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8C6"/>
    <w:rsid w:val="00AB1F9E"/>
    <w:rsid w:val="00AB2F6B"/>
    <w:rsid w:val="00AB34CD"/>
    <w:rsid w:val="00AB3938"/>
    <w:rsid w:val="00AB3A48"/>
    <w:rsid w:val="00AB3F33"/>
    <w:rsid w:val="00AB4AB8"/>
    <w:rsid w:val="00AB4AF9"/>
    <w:rsid w:val="00AB51C6"/>
    <w:rsid w:val="00AB5AB8"/>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3E8"/>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20D"/>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08F8"/>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CA"/>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3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77F82"/>
    <w:rsid w:val="00B8019B"/>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3A6C"/>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CE1"/>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6FA1"/>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1EA"/>
    <w:rsid w:val="00C214EA"/>
    <w:rsid w:val="00C218C5"/>
    <w:rsid w:val="00C218D7"/>
    <w:rsid w:val="00C22345"/>
    <w:rsid w:val="00C22468"/>
    <w:rsid w:val="00C22E48"/>
    <w:rsid w:val="00C23EE8"/>
    <w:rsid w:val="00C2471F"/>
    <w:rsid w:val="00C24E68"/>
    <w:rsid w:val="00C25DF9"/>
    <w:rsid w:val="00C26005"/>
    <w:rsid w:val="00C260B5"/>
    <w:rsid w:val="00C2656B"/>
    <w:rsid w:val="00C26FAA"/>
    <w:rsid w:val="00C27186"/>
    <w:rsid w:val="00C279B5"/>
    <w:rsid w:val="00C27BD2"/>
    <w:rsid w:val="00C27C45"/>
    <w:rsid w:val="00C30691"/>
    <w:rsid w:val="00C30833"/>
    <w:rsid w:val="00C30F0B"/>
    <w:rsid w:val="00C31470"/>
    <w:rsid w:val="00C31CD1"/>
    <w:rsid w:val="00C32A11"/>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82"/>
    <w:rsid w:val="00C471BE"/>
    <w:rsid w:val="00C47927"/>
    <w:rsid w:val="00C4799A"/>
    <w:rsid w:val="00C47E8C"/>
    <w:rsid w:val="00C504D0"/>
    <w:rsid w:val="00C509AE"/>
    <w:rsid w:val="00C51103"/>
    <w:rsid w:val="00C51BF6"/>
    <w:rsid w:val="00C51FF8"/>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4F"/>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08C4"/>
    <w:rsid w:val="00C8128A"/>
    <w:rsid w:val="00C81568"/>
    <w:rsid w:val="00C81DAC"/>
    <w:rsid w:val="00C82871"/>
    <w:rsid w:val="00C83454"/>
    <w:rsid w:val="00C836BC"/>
    <w:rsid w:val="00C837B2"/>
    <w:rsid w:val="00C84847"/>
    <w:rsid w:val="00C84CA9"/>
    <w:rsid w:val="00C8580F"/>
    <w:rsid w:val="00C85A01"/>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7CA"/>
    <w:rsid w:val="00CD2B1A"/>
    <w:rsid w:val="00CD2D0C"/>
    <w:rsid w:val="00CD2ED1"/>
    <w:rsid w:val="00CD2F77"/>
    <w:rsid w:val="00CD31A8"/>
    <w:rsid w:val="00CD337B"/>
    <w:rsid w:val="00CD3412"/>
    <w:rsid w:val="00CD4074"/>
    <w:rsid w:val="00CD424E"/>
    <w:rsid w:val="00CD4AD6"/>
    <w:rsid w:val="00CD5342"/>
    <w:rsid w:val="00CD5555"/>
    <w:rsid w:val="00CD758C"/>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0BED"/>
    <w:rsid w:val="00CF1354"/>
    <w:rsid w:val="00CF1397"/>
    <w:rsid w:val="00CF1E23"/>
    <w:rsid w:val="00CF27E3"/>
    <w:rsid w:val="00CF3A15"/>
    <w:rsid w:val="00CF3A80"/>
    <w:rsid w:val="00CF3B1F"/>
    <w:rsid w:val="00CF3BF6"/>
    <w:rsid w:val="00CF3D70"/>
    <w:rsid w:val="00CF4031"/>
    <w:rsid w:val="00CF42C4"/>
    <w:rsid w:val="00CF430A"/>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027"/>
    <w:rsid w:val="00D03125"/>
    <w:rsid w:val="00D031AD"/>
    <w:rsid w:val="00D031DA"/>
    <w:rsid w:val="00D0349B"/>
    <w:rsid w:val="00D03861"/>
    <w:rsid w:val="00D041D5"/>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07E"/>
    <w:rsid w:val="00D2277F"/>
    <w:rsid w:val="00D239A7"/>
    <w:rsid w:val="00D23BE5"/>
    <w:rsid w:val="00D23F47"/>
    <w:rsid w:val="00D242E0"/>
    <w:rsid w:val="00D24951"/>
    <w:rsid w:val="00D251A0"/>
    <w:rsid w:val="00D25491"/>
    <w:rsid w:val="00D25557"/>
    <w:rsid w:val="00D2556A"/>
    <w:rsid w:val="00D26479"/>
    <w:rsid w:val="00D26B67"/>
    <w:rsid w:val="00D26BF0"/>
    <w:rsid w:val="00D26C20"/>
    <w:rsid w:val="00D27F67"/>
    <w:rsid w:val="00D3005B"/>
    <w:rsid w:val="00D30160"/>
    <w:rsid w:val="00D3101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04F"/>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0EB"/>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5799D"/>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7"/>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ADC"/>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6ACE"/>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65"/>
    <w:rsid w:val="00DE7C1F"/>
    <w:rsid w:val="00DE7E0B"/>
    <w:rsid w:val="00DF0614"/>
    <w:rsid w:val="00DF0B6E"/>
    <w:rsid w:val="00DF0DF2"/>
    <w:rsid w:val="00DF15E0"/>
    <w:rsid w:val="00DF1985"/>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919"/>
    <w:rsid w:val="00DF7E6D"/>
    <w:rsid w:val="00E006FD"/>
    <w:rsid w:val="00E00D7C"/>
    <w:rsid w:val="00E00FC6"/>
    <w:rsid w:val="00E012C0"/>
    <w:rsid w:val="00E017F6"/>
    <w:rsid w:val="00E01A94"/>
    <w:rsid w:val="00E021B6"/>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5E6"/>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2AB"/>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A4D"/>
    <w:rsid w:val="00E46DDB"/>
    <w:rsid w:val="00E47743"/>
    <w:rsid w:val="00E47AEF"/>
    <w:rsid w:val="00E47EE4"/>
    <w:rsid w:val="00E517E5"/>
    <w:rsid w:val="00E5219D"/>
    <w:rsid w:val="00E5241F"/>
    <w:rsid w:val="00E52A10"/>
    <w:rsid w:val="00E52E06"/>
    <w:rsid w:val="00E52E2F"/>
    <w:rsid w:val="00E53448"/>
    <w:rsid w:val="00E53AA7"/>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563"/>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1C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38DB"/>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5C1"/>
    <w:rsid w:val="00EB4791"/>
    <w:rsid w:val="00EB4C70"/>
    <w:rsid w:val="00EB4EA2"/>
    <w:rsid w:val="00EB5333"/>
    <w:rsid w:val="00EB55C0"/>
    <w:rsid w:val="00EB68B4"/>
    <w:rsid w:val="00EB718C"/>
    <w:rsid w:val="00EB7353"/>
    <w:rsid w:val="00EB75F3"/>
    <w:rsid w:val="00EB7728"/>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2BB4"/>
    <w:rsid w:val="00ED3E2F"/>
    <w:rsid w:val="00ED4362"/>
    <w:rsid w:val="00ED444E"/>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013E"/>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3CE"/>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7C1"/>
    <w:rsid w:val="00F326AF"/>
    <w:rsid w:val="00F32B20"/>
    <w:rsid w:val="00F32BC1"/>
    <w:rsid w:val="00F33113"/>
    <w:rsid w:val="00F33114"/>
    <w:rsid w:val="00F33780"/>
    <w:rsid w:val="00F337D6"/>
    <w:rsid w:val="00F33BF6"/>
    <w:rsid w:val="00F33F60"/>
    <w:rsid w:val="00F3438E"/>
    <w:rsid w:val="00F35C1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E8E"/>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8760F"/>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0FA"/>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0FA0"/>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D7C7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0D7E"/>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qFormat/>
    <w:rsid w:val="00A52210"/>
    <w:rPr>
      <w:sz w:val="16"/>
      <w:szCs w:val="16"/>
    </w:rPr>
  </w:style>
  <w:style w:type="paragraph" w:styleId="CommentText">
    <w:name w:val="annotation text"/>
    <w:basedOn w:val="Normal"/>
    <w:link w:val="CommentTextChar"/>
    <w:uiPriority w:val="99"/>
    <w:qFormat/>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link w:val="ProposalChar"/>
    <w:qFormat/>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F8760F"/>
    <w:pPr>
      <w:numPr>
        <w:numId w:val="39"/>
      </w:numPr>
      <w:spacing w:before="60"/>
    </w:pPr>
    <w:rPr>
      <w:rFonts w:ascii="Arial" w:eastAsia="MS Mincho" w:hAnsi="Arial"/>
      <w:b/>
      <w:sz w:val="20"/>
      <w:lang w:val="en-GB" w:eastAsia="en-GB"/>
    </w:rPr>
  </w:style>
  <w:style w:type="character" w:customStyle="1" w:styleId="CommentTextChar">
    <w:name w:val="Comment Text Char"/>
    <w:basedOn w:val="DefaultParagraphFont"/>
    <w:link w:val="CommentText"/>
    <w:uiPriority w:val="99"/>
    <w:qFormat/>
    <w:rsid w:val="00697E83"/>
    <w:rPr>
      <w:rFonts w:ascii="Times New Roman" w:hAnsi="Times New Roman"/>
      <w:sz w:val="24"/>
      <w:szCs w:val="24"/>
    </w:rPr>
  </w:style>
  <w:style w:type="character" w:customStyle="1" w:styleId="TALCar">
    <w:name w:val="TAL Car"/>
    <w:qFormat/>
    <w:rsid w:val="00065EFB"/>
    <w:rPr>
      <w:rFonts w:ascii="Arial" w:eastAsia="Times New Roman" w:hAnsi="Arial"/>
      <w:sz w:val="18"/>
      <w:lang w:val="en-GB" w:eastAsia="ja-JP"/>
    </w:rPr>
  </w:style>
  <w:style w:type="character" w:customStyle="1" w:styleId="ProposalChar">
    <w:name w:val="Proposal Char"/>
    <w:link w:val="Proposal"/>
    <w:qFormat/>
    <w:rsid w:val="00112DC1"/>
    <w:rPr>
      <w:rFonts w:ascii="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4973395">
      <w:bodyDiv w:val="1"/>
      <w:marLeft w:val="0"/>
      <w:marRight w:val="0"/>
      <w:marTop w:val="0"/>
      <w:marBottom w:val="0"/>
      <w:divBdr>
        <w:top w:val="none" w:sz="0" w:space="0" w:color="auto"/>
        <w:left w:val="none" w:sz="0" w:space="0" w:color="auto"/>
        <w:bottom w:val="none" w:sz="0" w:space="0" w:color="auto"/>
        <w:right w:val="none" w:sz="0" w:space="0" w:color="auto"/>
      </w:divBdr>
      <w:divsChild>
        <w:div w:id="507645405">
          <w:marLeft w:val="0"/>
          <w:marRight w:val="0"/>
          <w:marTop w:val="0"/>
          <w:marBottom w:val="0"/>
          <w:divBdr>
            <w:top w:val="none" w:sz="0" w:space="0" w:color="auto"/>
            <w:left w:val="none" w:sz="0" w:space="0" w:color="auto"/>
            <w:bottom w:val="none" w:sz="0" w:space="0" w:color="auto"/>
            <w:right w:val="none" w:sz="0" w:space="0" w:color="auto"/>
          </w:divBdr>
          <w:divsChild>
            <w:div w:id="842738999">
              <w:marLeft w:val="0"/>
              <w:marRight w:val="0"/>
              <w:marTop w:val="0"/>
              <w:marBottom w:val="0"/>
              <w:divBdr>
                <w:top w:val="none" w:sz="0" w:space="0" w:color="auto"/>
                <w:left w:val="none" w:sz="0" w:space="0" w:color="auto"/>
                <w:bottom w:val="none" w:sz="0" w:space="0" w:color="auto"/>
                <w:right w:val="none" w:sz="0" w:space="0" w:color="auto"/>
              </w:divBdr>
              <w:divsChild>
                <w:div w:id="1261648518">
                  <w:marLeft w:val="0"/>
                  <w:marRight w:val="0"/>
                  <w:marTop w:val="0"/>
                  <w:marBottom w:val="0"/>
                  <w:divBdr>
                    <w:top w:val="none" w:sz="0" w:space="0" w:color="auto"/>
                    <w:left w:val="none" w:sz="0" w:space="0" w:color="auto"/>
                    <w:bottom w:val="none" w:sz="0" w:space="0" w:color="auto"/>
                    <w:right w:val="none" w:sz="0" w:space="0" w:color="auto"/>
                  </w:divBdr>
                  <w:divsChild>
                    <w:div w:id="109964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1490584">
      <w:bodyDiv w:val="1"/>
      <w:marLeft w:val="0"/>
      <w:marRight w:val="0"/>
      <w:marTop w:val="0"/>
      <w:marBottom w:val="0"/>
      <w:divBdr>
        <w:top w:val="none" w:sz="0" w:space="0" w:color="auto"/>
        <w:left w:val="none" w:sz="0" w:space="0" w:color="auto"/>
        <w:bottom w:val="none" w:sz="0" w:space="0" w:color="auto"/>
        <w:right w:val="none" w:sz="0" w:space="0" w:color="auto"/>
      </w:divBdr>
      <w:divsChild>
        <w:div w:id="129249523">
          <w:marLeft w:val="0"/>
          <w:marRight w:val="0"/>
          <w:marTop w:val="0"/>
          <w:marBottom w:val="0"/>
          <w:divBdr>
            <w:top w:val="none" w:sz="0" w:space="0" w:color="auto"/>
            <w:left w:val="none" w:sz="0" w:space="0" w:color="auto"/>
            <w:bottom w:val="none" w:sz="0" w:space="0" w:color="auto"/>
            <w:right w:val="none" w:sz="0" w:space="0" w:color="auto"/>
          </w:divBdr>
          <w:divsChild>
            <w:div w:id="1892620273">
              <w:marLeft w:val="0"/>
              <w:marRight w:val="0"/>
              <w:marTop w:val="0"/>
              <w:marBottom w:val="0"/>
              <w:divBdr>
                <w:top w:val="none" w:sz="0" w:space="0" w:color="auto"/>
                <w:left w:val="none" w:sz="0" w:space="0" w:color="auto"/>
                <w:bottom w:val="none" w:sz="0" w:space="0" w:color="auto"/>
                <w:right w:val="none" w:sz="0" w:space="0" w:color="auto"/>
              </w:divBdr>
              <w:divsChild>
                <w:div w:id="877470462">
                  <w:marLeft w:val="0"/>
                  <w:marRight w:val="0"/>
                  <w:marTop w:val="0"/>
                  <w:marBottom w:val="0"/>
                  <w:divBdr>
                    <w:top w:val="none" w:sz="0" w:space="0" w:color="auto"/>
                    <w:left w:val="none" w:sz="0" w:space="0" w:color="auto"/>
                    <w:bottom w:val="none" w:sz="0" w:space="0" w:color="auto"/>
                    <w:right w:val="none" w:sz="0" w:space="0" w:color="auto"/>
                  </w:divBdr>
                  <w:divsChild>
                    <w:div w:id="1235311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929</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2022-02-14T14:21:00Z</dcterms:created>
  <dcterms:modified xsi:type="dcterms:W3CDTF">2022-02-14T17:26:00Z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